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828"/>
        <w:gridCol w:w="1848"/>
        <w:gridCol w:w="1842"/>
        <w:gridCol w:w="1690"/>
        <w:gridCol w:w="1589"/>
        <w:gridCol w:w="1592"/>
        <w:gridCol w:w="1592"/>
        <w:gridCol w:w="1589"/>
      </w:tblGrid>
      <w:tr w:rsidR="00054237" w:rsidTr="00EC10E8">
        <w:trPr>
          <w:trHeight w:val="297"/>
        </w:trPr>
        <w:tc>
          <w:tcPr>
            <w:tcW w:w="1780" w:type="dxa"/>
          </w:tcPr>
          <w:p w:rsidR="00060BAF" w:rsidRDefault="00060BAF">
            <w:bookmarkStart w:id="0" w:name="_GoBack"/>
            <w:bookmarkEnd w:id="0"/>
          </w:p>
        </w:tc>
        <w:tc>
          <w:tcPr>
            <w:tcW w:w="5518" w:type="dxa"/>
            <w:gridSpan w:val="3"/>
          </w:tcPr>
          <w:p w:rsidR="00060BAF" w:rsidRDefault="00060BAF" w:rsidP="00D50C06">
            <w:r>
              <w:t xml:space="preserve">Year 9 </w:t>
            </w:r>
            <w:r w:rsidR="00D50C06">
              <w:t>Higher</w:t>
            </w:r>
          </w:p>
        </w:tc>
        <w:tc>
          <w:tcPr>
            <w:tcW w:w="4871" w:type="dxa"/>
            <w:gridSpan w:val="3"/>
          </w:tcPr>
          <w:p w:rsidR="00060BAF" w:rsidRDefault="00060BAF" w:rsidP="00D50C06">
            <w:r>
              <w:t xml:space="preserve">Year 10 </w:t>
            </w:r>
            <w:r w:rsidR="00D50C06">
              <w:t>Higher</w:t>
            </w:r>
          </w:p>
        </w:tc>
        <w:tc>
          <w:tcPr>
            <w:tcW w:w="3181" w:type="dxa"/>
            <w:gridSpan w:val="2"/>
          </w:tcPr>
          <w:p w:rsidR="00060BAF" w:rsidRDefault="00060BAF" w:rsidP="00D50C06">
            <w:r>
              <w:t xml:space="preserve">Year 11 </w:t>
            </w:r>
            <w:r w:rsidR="00D50C06">
              <w:t>Higher</w:t>
            </w:r>
          </w:p>
        </w:tc>
      </w:tr>
      <w:tr w:rsidR="004A54BA" w:rsidTr="00EC10E8">
        <w:trPr>
          <w:trHeight w:val="279"/>
        </w:trPr>
        <w:tc>
          <w:tcPr>
            <w:tcW w:w="1780" w:type="dxa"/>
          </w:tcPr>
          <w:p w:rsidR="00060BAF" w:rsidRDefault="00060BAF" w:rsidP="007E7065">
            <w:r>
              <w:t>Strand</w:t>
            </w:r>
          </w:p>
        </w:tc>
        <w:tc>
          <w:tcPr>
            <w:tcW w:w="1828" w:type="dxa"/>
          </w:tcPr>
          <w:p w:rsidR="00060BAF" w:rsidRDefault="00060BAF" w:rsidP="007E7065">
            <w:r>
              <w:t>Autumn</w:t>
            </w:r>
          </w:p>
        </w:tc>
        <w:tc>
          <w:tcPr>
            <w:tcW w:w="1848" w:type="dxa"/>
          </w:tcPr>
          <w:p w:rsidR="00060BAF" w:rsidRDefault="00060BAF" w:rsidP="007E7065">
            <w:r>
              <w:t xml:space="preserve">Spring </w:t>
            </w:r>
          </w:p>
        </w:tc>
        <w:tc>
          <w:tcPr>
            <w:tcW w:w="1842" w:type="dxa"/>
          </w:tcPr>
          <w:p w:rsidR="00060BAF" w:rsidRDefault="00060BAF" w:rsidP="007E7065">
            <w:r>
              <w:t>Summer</w:t>
            </w:r>
          </w:p>
        </w:tc>
        <w:tc>
          <w:tcPr>
            <w:tcW w:w="1690" w:type="dxa"/>
          </w:tcPr>
          <w:p w:rsidR="00060BAF" w:rsidRDefault="00060BAF" w:rsidP="007E7065">
            <w:r>
              <w:t>Autumn</w:t>
            </w:r>
          </w:p>
        </w:tc>
        <w:tc>
          <w:tcPr>
            <w:tcW w:w="1589" w:type="dxa"/>
          </w:tcPr>
          <w:p w:rsidR="00060BAF" w:rsidRDefault="00060BAF" w:rsidP="007E7065">
            <w:r>
              <w:t xml:space="preserve">Spring </w:t>
            </w:r>
          </w:p>
        </w:tc>
        <w:tc>
          <w:tcPr>
            <w:tcW w:w="1592" w:type="dxa"/>
          </w:tcPr>
          <w:p w:rsidR="00060BAF" w:rsidRDefault="00060BAF" w:rsidP="007E7065">
            <w:r>
              <w:t>Summer</w:t>
            </w:r>
          </w:p>
        </w:tc>
        <w:tc>
          <w:tcPr>
            <w:tcW w:w="1592" w:type="dxa"/>
          </w:tcPr>
          <w:p w:rsidR="00060BAF" w:rsidRDefault="00060BAF" w:rsidP="007E7065">
            <w:r>
              <w:t>Autumn</w:t>
            </w:r>
          </w:p>
        </w:tc>
        <w:tc>
          <w:tcPr>
            <w:tcW w:w="1589" w:type="dxa"/>
          </w:tcPr>
          <w:p w:rsidR="00060BAF" w:rsidRDefault="00060BAF" w:rsidP="007E7065">
            <w:r>
              <w:t>Spring</w:t>
            </w:r>
          </w:p>
        </w:tc>
      </w:tr>
      <w:tr w:rsidR="004E1223" w:rsidRPr="004E1223" w:rsidTr="00EC10E8">
        <w:trPr>
          <w:trHeight w:val="658"/>
        </w:trPr>
        <w:tc>
          <w:tcPr>
            <w:tcW w:w="1780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  <w:r w:rsidRPr="004E1223">
              <w:rPr>
                <w:color w:val="000000" w:themeColor="text1"/>
              </w:rPr>
              <w:t>Number</w:t>
            </w:r>
          </w:p>
          <w:p w:rsidR="00C853FC" w:rsidRPr="004E1223" w:rsidRDefault="00C853FC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70AD47" w:themeFill="accent6"/>
          </w:tcPr>
          <w:p w:rsidR="00186355" w:rsidRPr="004E1223" w:rsidRDefault="00EC10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Calculations and rounding</w:t>
            </w:r>
          </w:p>
        </w:tc>
        <w:tc>
          <w:tcPr>
            <w:tcW w:w="1848" w:type="dxa"/>
            <w:shd w:val="clear" w:color="auto" w:fill="70AD47" w:themeFill="accent6"/>
          </w:tcPr>
          <w:p w:rsidR="00FA5B36" w:rsidRPr="004E1223" w:rsidRDefault="001F6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Indices and BIDMAS</w:t>
            </w:r>
          </w:p>
        </w:tc>
        <w:tc>
          <w:tcPr>
            <w:tcW w:w="1842" w:type="dxa"/>
            <w:shd w:val="clear" w:color="auto" w:fill="70AD47" w:themeFill="accent6"/>
          </w:tcPr>
          <w:p w:rsidR="00C853FC" w:rsidRPr="004E1223" w:rsidRDefault="00B93B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Types of numbers</w:t>
            </w:r>
          </w:p>
        </w:tc>
        <w:tc>
          <w:tcPr>
            <w:tcW w:w="1690" w:type="dxa"/>
            <w:shd w:val="clear" w:color="auto" w:fill="70AD47" w:themeFill="accent6"/>
          </w:tcPr>
          <w:p w:rsidR="004A21AA" w:rsidRPr="004E1223" w:rsidRDefault="00E51E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Standard form and surds</w:t>
            </w:r>
          </w:p>
        </w:tc>
        <w:tc>
          <w:tcPr>
            <w:tcW w:w="1589" w:type="dxa"/>
            <w:shd w:val="clear" w:color="auto" w:fill="70AD47" w:themeFill="accent6"/>
          </w:tcPr>
          <w:p w:rsidR="00C853FC" w:rsidRPr="004E1223" w:rsidRDefault="00F601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Multiplicative number</w:t>
            </w:r>
          </w:p>
        </w:tc>
        <w:tc>
          <w:tcPr>
            <w:tcW w:w="1592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</w:p>
        </w:tc>
        <w:tc>
          <w:tcPr>
            <w:tcW w:w="1589" w:type="dxa"/>
            <w:shd w:val="clear" w:color="auto" w:fill="70AD47" w:themeFill="accent6"/>
          </w:tcPr>
          <w:p w:rsidR="00C853FC" w:rsidRPr="004E1223" w:rsidRDefault="00C853FC">
            <w:pPr>
              <w:rPr>
                <w:color w:val="000000" w:themeColor="text1"/>
              </w:rPr>
            </w:pPr>
          </w:p>
        </w:tc>
      </w:tr>
      <w:tr w:rsidR="004E1223" w:rsidRPr="004E1223" w:rsidTr="00EC10E8">
        <w:trPr>
          <w:trHeight w:val="297"/>
        </w:trPr>
        <w:tc>
          <w:tcPr>
            <w:tcW w:w="1780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70AD47" w:themeFill="accent6"/>
          </w:tcPr>
          <w:p w:rsidR="0082260E" w:rsidRPr="004E1223" w:rsidRDefault="00EC10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Fractions and applications</w:t>
            </w:r>
          </w:p>
        </w:tc>
        <w:tc>
          <w:tcPr>
            <w:tcW w:w="1848" w:type="dxa"/>
            <w:shd w:val="clear" w:color="auto" w:fill="70AD47" w:themeFill="accent6"/>
          </w:tcPr>
          <w:p w:rsidR="0082260E" w:rsidRPr="004E1223" w:rsidRDefault="00EC10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Percentages</w:t>
            </w:r>
          </w:p>
        </w:tc>
        <w:tc>
          <w:tcPr>
            <w:tcW w:w="1842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690" w:type="dxa"/>
            <w:shd w:val="clear" w:color="auto" w:fill="70AD47" w:themeFill="accent6"/>
          </w:tcPr>
          <w:p w:rsidR="0082260E" w:rsidRPr="004E1223" w:rsidRDefault="00EC10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Accuracy and bounds</w:t>
            </w:r>
          </w:p>
        </w:tc>
        <w:tc>
          <w:tcPr>
            <w:tcW w:w="1589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  <w:tc>
          <w:tcPr>
            <w:tcW w:w="1589" w:type="dxa"/>
            <w:shd w:val="clear" w:color="auto" w:fill="70AD47" w:themeFill="accent6"/>
          </w:tcPr>
          <w:p w:rsidR="0082260E" w:rsidRPr="004E1223" w:rsidRDefault="0082260E">
            <w:pPr>
              <w:rPr>
                <w:color w:val="000000" w:themeColor="text1"/>
              </w:rPr>
            </w:pPr>
          </w:p>
        </w:tc>
      </w:tr>
      <w:tr w:rsidR="00F71C43" w:rsidTr="00EC10E8">
        <w:trPr>
          <w:trHeight w:val="1172"/>
        </w:trPr>
        <w:tc>
          <w:tcPr>
            <w:tcW w:w="1780" w:type="dxa"/>
            <w:shd w:val="clear" w:color="auto" w:fill="B4C6E7" w:themeFill="accent5" w:themeFillTint="66"/>
          </w:tcPr>
          <w:p w:rsidR="00C853FC" w:rsidRDefault="00C853FC">
            <w:r>
              <w:t>Algebra</w:t>
            </w:r>
          </w:p>
        </w:tc>
        <w:tc>
          <w:tcPr>
            <w:tcW w:w="1828" w:type="dxa"/>
            <w:shd w:val="clear" w:color="auto" w:fill="B4C6E7" w:themeFill="accent5" w:themeFillTint="66"/>
          </w:tcPr>
          <w:p w:rsidR="00C853FC" w:rsidRDefault="001F669D">
            <w:r>
              <w:rPr>
                <w:color w:val="000000" w:themeColor="text1"/>
              </w:rPr>
              <w:t>Expressions</w:t>
            </w:r>
          </w:p>
        </w:tc>
        <w:tc>
          <w:tcPr>
            <w:tcW w:w="1848" w:type="dxa"/>
            <w:shd w:val="clear" w:color="auto" w:fill="B4C6E7" w:themeFill="accent5" w:themeFillTint="66"/>
          </w:tcPr>
          <w:p w:rsidR="00C853FC" w:rsidRDefault="001F669D">
            <w:r>
              <w:t>Equations</w:t>
            </w:r>
          </w:p>
          <w:p w:rsidR="00FA5B36" w:rsidRDefault="00FA5B36"/>
        </w:tc>
        <w:tc>
          <w:tcPr>
            <w:tcW w:w="1842" w:type="dxa"/>
            <w:shd w:val="clear" w:color="auto" w:fill="B4C6E7" w:themeFill="accent5" w:themeFillTint="66"/>
          </w:tcPr>
          <w:p w:rsidR="00C853FC" w:rsidRDefault="00B93BC2">
            <w:r>
              <w:t xml:space="preserve">Graphs </w:t>
            </w:r>
            <w:proofErr w:type="spellStart"/>
            <w:r>
              <w:t>incl</w:t>
            </w:r>
            <w:proofErr w:type="spellEnd"/>
            <w:r w:rsidR="003E66E6">
              <w:t xml:space="preserve"> real life</w:t>
            </w:r>
          </w:p>
        </w:tc>
        <w:tc>
          <w:tcPr>
            <w:tcW w:w="1690" w:type="dxa"/>
            <w:shd w:val="clear" w:color="auto" w:fill="B4C6E7" w:themeFill="accent5" w:themeFillTint="66"/>
          </w:tcPr>
          <w:p w:rsidR="00C853FC" w:rsidRDefault="004A21AA">
            <w:r>
              <w:t>Linear graphs and coordinates</w:t>
            </w:r>
          </w:p>
          <w:p w:rsidR="00276D8F" w:rsidRDefault="00276D8F"/>
        </w:tc>
        <w:tc>
          <w:tcPr>
            <w:tcW w:w="1589" w:type="dxa"/>
            <w:shd w:val="clear" w:color="auto" w:fill="B4C6E7" w:themeFill="accent5" w:themeFillTint="66"/>
          </w:tcPr>
          <w:p w:rsidR="00A95996" w:rsidRDefault="00F60138">
            <w:r>
              <w:t xml:space="preserve">Solving quadratics </w:t>
            </w:r>
            <w:proofErr w:type="spellStart"/>
            <w:r>
              <w:t>pt</w:t>
            </w:r>
            <w:proofErr w:type="spellEnd"/>
            <w:r>
              <w:t xml:space="preserve"> 2</w:t>
            </w:r>
          </w:p>
        </w:tc>
        <w:tc>
          <w:tcPr>
            <w:tcW w:w="1592" w:type="dxa"/>
            <w:shd w:val="clear" w:color="auto" w:fill="B4C6E7" w:themeFill="accent5" w:themeFillTint="66"/>
          </w:tcPr>
          <w:p w:rsidR="00C853FC" w:rsidRDefault="00A95996">
            <w:r>
              <w:t xml:space="preserve">Quadratics, </w:t>
            </w:r>
            <w:proofErr w:type="spellStart"/>
            <w:r>
              <w:t>cubics</w:t>
            </w:r>
            <w:proofErr w:type="spellEnd"/>
            <w:r>
              <w:t xml:space="preserve"> and </w:t>
            </w:r>
            <w:r w:rsidR="00B17B3F">
              <w:t>circles</w:t>
            </w:r>
          </w:p>
        </w:tc>
        <w:tc>
          <w:tcPr>
            <w:tcW w:w="1592" w:type="dxa"/>
            <w:shd w:val="clear" w:color="auto" w:fill="B4C6E7" w:themeFill="accent5" w:themeFillTint="66"/>
          </w:tcPr>
          <w:p w:rsidR="00C853FC" w:rsidRDefault="003E29C6">
            <w:r>
              <w:t>Graphs of trig functions</w:t>
            </w:r>
          </w:p>
        </w:tc>
        <w:tc>
          <w:tcPr>
            <w:tcW w:w="1589" w:type="dxa"/>
            <w:shd w:val="clear" w:color="auto" w:fill="B4C6E7" w:themeFill="accent5" w:themeFillTint="66"/>
          </w:tcPr>
          <w:p w:rsidR="00C853FC" w:rsidRDefault="00B17B3F">
            <w:r>
              <w:t>Graphs including gradients and area under</w:t>
            </w:r>
          </w:p>
        </w:tc>
      </w:tr>
      <w:tr w:rsidR="00F71C43" w:rsidTr="00EC10E8">
        <w:trPr>
          <w:trHeight w:val="297"/>
        </w:trPr>
        <w:tc>
          <w:tcPr>
            <w:tcW w:w="1780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828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848" w:type="dxa"/>
            <w:shd w:val="clear" w:color="auto" w:fill="B4C6E7" w:themeFill="accent5" w:themeFillTint="66"/>
          </w:tcPr>
          <w:p w:rsidR="0082260E" w:rsidRDefault="00EC10E8" w:rsidP="0082260E">
            <w:r>
              <w:t>Quadratics and simultaneous equations</w:t>
            </w:r>
            <w:r w:rsidR="00CD7EB9">
              <w:t xml:space="preserve"> </w:t>
            </w:r>
            <w:proofErr w:type="spellStart"/>
            <w:r w:rsidR="00CD7EB9">
              <w:t>pt</w:t>
            </w:r>
            <w:proofErr w:type="spellEnd"/>
            <w:r w:rsidR="00CD7EB9">
              <w:t xml:space="preserve"> 1</w:t>
            </w:r>
          </w:p>
        </w:tc>
        <w:tc>
          <w:tcPr>
            <w:tcW w:w="1842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690" w:type="dxa"/>
            <w:shd w:val="clear" w:color="auto" w:fill="B4C6E7" w:themeFill="accent5" w:themeFillTint="66"/>
          </w:tcPr>
          <w:p w:rsidR="0082260E" w:rsidRDefault="00B17B3F" w:rsidP="0082260E">
            <w:r>
              <w:t>Quadratics and graphs</w:t>
            </w:r>
          </w:p>
        </w:tc>
        <w:tc>
          <w:tcPr>
            <w:tcW w:w="1589" w:type="dxa"/>
            <w:shd w:val="clear" w:color="auto" w:fill="B4C6E7" w:themeFill="accent5" w:themeFillTint="66"/>
          </w:tcPr>
          <w:p w:rsidR="00B17B3F" w:rsidRDefault="00B17B3F" w:rsidP="00B17B3F">
            <w:r>
              <w:t>Sequences</w:t>
            </w:r>
          </w:p>
          <w:p w:rsidR="0082260E" w:rsidRDefault="00B17B3F" w:rsidP="00B17B3F">
            <w:r>
              <w:t>Inequalities</w:t>
            </w:r>
          </w:p>
        </w:tc>
        <w:tc>
          <w:tcPr>
            <w:tcW w:w="1592" w:type="dxa"/>
            <w:shd w:val="clear" w:color="auto" w:fill="B4C6E7" w:themeFill="accent5" w:themeFillTint="66"/>
          </w:tcPr>
          <w:p w:rsidR="0082260E" w:rsidRDefault="0082260E" w:rsidP="0082260E"/>
        </w:tc>
        <w:tc>
          <w:tcPr>
            <w:tcW w:w="1592" w:type="dxa"/>
            <w:shd w:val="clear" w:color="auto" w:fill="B4C6E7" w:themeFill="accent5" w:themeFillTint="66"/>
          </w:tcPr>
          <w:p w:rsidR="0082260E" w:rsidRDefault="003E29C6" w:rsidP="0082260E">
            <w:r>
              <w:t>Algebraic factions, surds and proof</w:t>
            </w:r>
          </w:p>
        </w:tc>
        <w:tc>
          <w:tcPr>
            <w:tcW w:w="1589" w:type="dxa"/>
            <w:shd w:val="clear" w:color="auto" w:fill="B4C6E7" w:themeFill="accent5" w:themeFillTint="66"/>
          </w:tcPr>
          <w:p w:rsidR="0082260E" w:rsidRDefault="0082260E" w:rsidP="0082260E"/>
        </w:tc>
      </w:tr>
      <w:tr w:rsidR="004A54BA" w:rsidTr="00EC10E8">
        <w:trPr>
          <w:trHeight w:val="893"/>
        </w:trPr>
        <w:tc>
          <w:tcPr>
            <w:tcW w:w="1780" w:type="dxa"/>
            <w:shd w:val="clear" w:color="auto" w:fill="FFE599" w:themeFill="accent4" w:themeFillTint="66"/>
          </w:tcPr>
          <w:p w:rsidR="0082260E" w:rsidRDefault="0082260E" w:rsidP="003E66E6">
            <w:r>
              <w:t xml:space="preserve">Ratio, proportion </w:t>
            </w:r>
            <w:r w:rsidR="00B93BC2">
              <w:t>and</w:t>
            </w:r>
            <w:r>
              <w:t xml:space="preserve"> rates of change</w:t>
            </w:r>
          </w:p>
        </w:tc>
        <w:tc>
          <w:tcPr>
            <w:tcW w:w="1828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848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842" w:type="dxa"/>
            <w:shd w:val="clear" w:color="auto" w:fill="FFE599" w:themeFill="accent4" w:themeFillTint="66"/>
          </w:tcPr>
          <w:p w:rsidR="0082260E" w:rsidRDefault="00A0605B" w:rsidP="0082260E">
            <w:r>
              <w:t>Ratio and proportion</w:t>
            </w:r>
          </w:p>
        </w:tc>
        <w:tc>
          <w:tcPr>
            <w:tcW w:w="1690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589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592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592" w:type="dxa"/>
            <w:shd w:val="clear" w:color="auto" w:fill="FFE599" w:themeFill="accent4" w:themeFillTint="66"/>
          </w:tcPr>
          <w:p w:rsidR="0082260E" w:rsidRDefault="0082260E" w:rsidP="0082260E"/>
        </w:tc>
        <w:tc>
          <w:tcPr>
            <w:tcW w:w="1589" w:type="dxa"/>
            <w:shd w:val="clear" w:color="auto" w:fill="FFE599" w:themeFill="accent4" w:themeFillTint="66"/>
          </w:tcPr>
          <w:p w:rsidR="0082260E" w:rsidRDefault="00420169" w:rsidP="0082260E">
            <w:r>
              <w:t>Direct and inverse proportion</w:t>
            </w:r>
          </w:p>
        </w:tc>
      </w:tr>
      <w:tr w:rsidR="004A54BA" w:rsidTr="00EC10E8">
        <w:trPr>
          <w:trHeight w:val="1191"/>
        </w:trPr>
        <w:tc>
          <w:tcPr>
            <w:tcW w:w="1780" w:type="dxa"/>
            <w:shd w:val="clear" w:color="auto" w:fill="F7CAAC" w:themeFill="accent2" w:themeFillTint="66"/>
          </w:tcPr>
          <w:p w:rsidR="0082260E" w:rsidRDefault="0082260E" w:rsidP="0082260E">
            <w:r>
              <w:t>Geometry and measures</w:t>
            </w:r>
          </w:p>
        </w:tc>
        <w:tc>
          <w:tcPr>
            <w:tcW w:w="1828" w:type="dxa"/>
            <w:shd w:val="clear" w:color="auto" w:fill="F7CAAC" w:themeFill="accent2" w:themeFillTint="66"/>
          </w:tcPr>
          <w:p w:rsidR="0082260E" w:rsidRDefault="00EC10E8" w:rsidP="0082260E">
            <w:r>
              <w:t>Angles</w:t>
            </w:r>
          </w:p>
          <w:p w:rsidR="00186355" w:rsidRDefault="00186355" w:rsidP="0082260E"/>
        </w:tc>
        <w:tc>
          <w:tcPr>
            <w:tcW w:w="1848" w:type="dxa"/>
            <w:shd w:val="clear" w:color="auto" w:fill="F7CAAC" w:themeFill="accent2" w:themeFillTint="66"/>
          </w:tcPr>
          <w:p w:rsidR="0082260E" w:rsidRDefault="0082260E" w:rsidP="0082260E"/>
        </w:tc>
        <w:tc>
          <w:tcPr>
            <w:tcW w:w="1842" w:type="dxa"/>
            <w:shd w:val="clear" w:color="auto" w:fill="F7CAAC" w:themeFill="accent2" w:themeFillTint="66"/>
          </w:tcPr>
          <w:p w:rsidR="0082260E" w:rsidRDefault="00B93BC2" w:rsidP="0082260E">
            <w:r>
              <w:t>Area, perimeter and circles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:rsidR="0082260E" w:rsidRDefault="004A21AA" w:rsidP="0082260E">
            <w:r>
              <w:t>3D shapes</w:t>
            </w:r>
          </w:p>
          <w:p w:rsidR="00276D8F" w:rsidRDefault="00276D8F" w:rsidP="0082260E">
            <w:r>
              <w:t>Transformations</w:t>
            </w:r>
          </w:p>
        </w:tc>
        <w:tc>
          <w:tcPr>
            <w:tcW w:w="1589" w:type="dxa"/>
            <w:shd w:val="clear" w:color="auto" w:fill="F7CAAC" w:themeFill="accent2" w:themeFillTint="66"/>
          </w:tcPr>
          <w:p w:rsidR="0082260E" w:rsidRDefault="00F60138" w:rsidP="0082260E">
            <w:r>
              <w:t>Constructions</w:t>
            </w:r>
          </w:p>
        </w:tc>
        <w:tc>
          <w:tcPr>
            <w:tcW w:w="1592" w:type="dxa"/>
            <w:shd w:val="clear" w:color="auto" w:fill="F7CAAC" w:themeFill="accent2" w:themeFillTint="66"/>
          </w:tcPr>
          <w:p w:rsidR="0082260E" w:rsidRDefault="00FE3F62" w:rsidP="0082260E">
            <w:r>
              <w:t>Similarity and congruence</w:t>
            </w:r>
          </w:p>
        </w:tc>
        <w:tc>
          <w:tcPr>
            <w:tcW w:w="1592" w:type="dxa"/>
            <w:shd w:val="clear" w:color="auto" w:fill="F7CAAC" w:themeFill="accent2" w:themeFillTint="66"/>
          </w:tcPr>
          <w:p w:rsidR="0082260E" w:rsidRDefault="003E29C6" w:rsidP="0082260E">
            <w:r>
              <w:t>Circle theorems</w:t>
            </w:r>
          </w:p>
        </w:tc>
        <w:tc>
          <w:tcPr>
            <w:tcW w:w="1589" w:type="dxa"/>
            <w:shd w:val="clear" w:color="auto" w:fill="F7CAAC" w:themeFill="accent2" w:themeFillTint="66"/>
          </w:tcPr>
          <w:p w:rsidR="0082260E" w:rsidRDefault="00420169" w:rsidP="0082260E">
            <w:r>
              <w:t>Circle geometry</w:t>
            </w:r>
          </w:p>
        </w:tc>
      </w:tr>
      <w:tr w:rsidR="00F71C43" w:rsidTr="00EC10E8">
        <w:trPr>
          <w:trHeight w:val="297"/>
        </w:trPr>
        <w:tc>
          <w:tcPr>
            <w:tcW w:w="1780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828" w:type="dxa"/>
            <w:shd w:val="clear" w:color="auto" w:fill="F7CAAC" w:themeFill="accent2" w:themeFillTint="66"/>
          </w:tcPr>
          <w:p w:rsidR="00096520" w:rsidRDefault="00EC10E8" w:rsidP="0082260E">
            <w:r>
              <w:t>Pythagoras’ theorem and Trigonometry</w:t>
            </w:r>
          </w:p>
        </w:tc>
        <w:tc>
          <w:tcPr>
            <w:tcW w:w="1848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842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690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589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592" w:type="dxa"/>
            <w:shd w:val="clear" w:color="auto" w:fill="F7CAAC" w:themeFill="accent2" w:themeFillTint="66"/>
          </w:tcPr>
          <w:p w:rsidR="00096520" w:rsidRDefault="00096520" w:rsidP="0082260E"/>
        </w:tc>
        <w:tc>
          <w:tcPr>
            <w:tcW w:w="1592" w:type="dxa"/>
            <w:shd w:val="clear" w:color="auto" w:fill="F7CAAC" w:themeFill="accent2" w:themeFillTint="66"/>
          </w:tcPr>
          <w:p w:rsidR="00096520" w:rsidRDefault="003E29C6" w:rsidP="0082260E">
            <w:r>
              <w:t>Further trigonometry</w:t>
            </w:r>
          </w:p>
        </w:tc>
        <w:tc>
          <w:tcPr>
            <w:tcW w:w="1589" w:type="dxa"/>
            <w:shd w:val="clear" w:color="auto" w:fill="F7CAAC" w:themeFill="accent2" w:themeFillTint="66"/>
          </w:tcPr>
          <w:p w:rsidR="00096520" w:rsidRDefault="00B17B3F" w:rsidP="0082260E">
            <w:r>
              <w:t>Vectors and geometric proof</w:t>
            </w:r>
          </w:p>
        </w:tc>
      </w:tr>
      <w:tr w:rsidR="004A54BA" w:rsidTr="00EC10E8">
        <w:trPr>
          <w:trHeight w:val="1191"/>
        </w:trPr>
        <w:tc>
          <w:tcPr>
            <w:tcW w:w="1780" w:type="dxa"/>
            <w:shd w:val="clear" w:color="auto" w:fill="BDD6EE" w:themeFill="accent1" w:themeFillTint="66"/>
          </w:tcPr>
          <w:p w:rsidR="0082260E" w:rsidRDefault="0082260E" w:rsidP="0082260E">
            <w:r>
              <w:t>Probability</w:t>
            </w:r>
          </w:p>
        </w:tc>
        <w:tc>
          <w:tcPr>
            <w:tcW w:w="1828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848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842" w:type="dxa"/>
            <w:shd w:val="clear" w:color="auto" w:fill="BDD6EE" w:themeFill="accent1" w:themeFillTint="66"/>
          </w:tcPr>
          <w:p w:rsidR="0082260E" w:rsidRDefault="00A0605B" w:rsidP="0082260E">
            <w:r>
              <w:t>Single probability, independent events</w:t>
            </w:r>
          </w:p>
        </w:tc>
        <w:tc>
          <w:tcPr>
            <w:tcW w:w="1690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589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592" w:type="dxa"/>
            <w:shd w:val="clear" w:color="auto" w:fill="BDD6EE" w:themeFill="accent1" w:themeFillTint="66"/>
          </w:tcPr>
          <w:p w:rsidR="00981F59" w:rsidRDefault="00FE3F62" w:rsidP="0082260E">
            <w:r>
              <w:t>Venn and tree diagrams</w:t>
            </w:r>
          </w:p>
        </w:tc>
        <w:tc>
          <w:tcPr>
            <w:tcW w:w="1592" w:type="dxa"/>
            <w:shd w:val="clear" w:color="auto" w:fill="BDD6EE" w:themeFill="accent1" w:themeFillTint="66"/>
          </w:tcPr>
          <w:p w:rsidR="0082260E" w:rsidRDefault="0082260E" w:rsidP="0082260E"/>
        </w:tc>
        <w:tc>
          <w:tcPr>
            <w:tcW w:w="1589" w:type="dxa"/>
            <w:shd w:val="clear" w:color="auto" w:fill="BDD6EE" w:themeFill="accent1" w:themeFillTint="66"/>
          </w:tcPr>
          <w:p w:rsidR="0082260E" w:rsidRDefault="0082260E" w:rsidP="0082260E"/>
        </w:tc>
      </w:tr>
      <w:tr w:rsidR="004A54BA" w:rsidTr="00EC10E8">
        <w:trPr>
          <w:trHeight w:val="577"/>
        </w:trPr>
        <w:tc>
          <w:tcPr>
            <w:tcW w:w="1780" w:type="dxa"/>
            <w:shd w:val="clear" w:color="auto" w:fill="A5A5A5" w:themeFill="accent3"/>
          </w:tcPr>
          <w:p w:rsidR="0082260E" w:rsidRDefault="0082260E" w:rsidP="0082260E">
            <w:r>
              <w:t>Statistics</w:t>
            </w:r>
          </w:p>
        </w:tc>
        <w:tc>
          <w:tcPr>
            <w:tcW w:w="1828" w:type="dxa"/>
            <w:shd w:val="clear" w:color="auto" w:fill="A5A5A5" w:themeFill="accent3"/>
          </w:tcPr>
          <w:p w:rsidR="0082260E" w:rsidRDefault="00186355" w:rsidP="0082260E">
            <w:r>
              <w:t>Averages, range and tables</w:t>
            </w:r>
          </w:p>
        </w:tc>
        <w:tc>
          <w:tcPr>
            <w:tcW w:w="1848" w:type="dxa"/>
            <w:shd w:val="clear" w:color="auto" w:fill="A5A5A5" w:themeFill="accent3"/>
          </w:tcPr>
          <w:p w:rsidR="0082260E" w:rsidRDefault="00FA5B36" w:rsidP="0082260E">
            <w:r>
              <w:t>Scatter graphs</w:t>
            </w:r>
          </w:p>
        </w:tc>
        <w:tc>
          <w:tcPr>
            <w:tcW w:w="1842" w:type="dxa"/>
            <w:shd w:val="clear" w:color="auto" w:fill="A5A5A5" w:themeFill="accent3"/>
          </w:tcPr>
          <w:p w:rsidR="0082260E" w:rsidRDefault="0082260E" w:rsidP="0082260E"/>
        </w:tc>
        <w:tc>
          <w:tcPr>
            <w:tcW w:w="1690" w:type="dxa"/>
            <w:shd w:val="clear" w:color="auto" w:fill="A5A5A5" w:themeFill="accent3"/>
          </w:tcPr>
          <w:p w:rsidR="0082260E" w:rsidRDefault="00276D8F" w:rsidP="0082260E">
            <w:r>
              <w:t>Averages, ranges and graphs</w:t>
            </w:r>
          </w:p>
        </w:tc>
        <w:tc>
          <w:tcPr>
            <w:tcW w:w="1589" w:type="dxa"/>
            <w:shd w:val="clear" w:color="auto" w:fill="A5A5A5" w:themeFill="accent3"/>
          </w:tcPr>
          <w:p w:rsidR="0082260E" w:rsidRDefault="0082260E" w:rsidP="0082260E"/>
        </w:tc>
        <w:tc>
          <w:tcPr>
            <w:tcW w:w="1592" w:type="dxa"/>
            <w:shd w:val="clear" w:color="auto" w:fill="A5A5A5" w:themeFill="accent3"/>
          </w:tcPr>
          <w:p w:rsidR="0082260E" w:rsidRDefault="00A95996" w:rsidP="0082260E">
            <w:r>
              <w:t>Collecting data</w:t>
            </w:r>
          </w:p>
        </w:tc>
        <w:tc>
          <w:tcPr>
            <w:tcW w:w="1592" w:type="dxa"/>
            <w:shd w:val="clear" w:color="auto" w:fill="A5A5A5" w:themeFill="accent3"/>
          </w:tcPr>
          <w:p w:rsidR="0082260E" w:rsidRDefault="00B34A92" w:rsidP="0082260E">
            <w:r>
              <w:t>Cumulative frequency and histograms</w:t>
            </w:r>
          </w:p>
        </w:tc>
        <w:tc>
          <w:tcPr>
            <w:tcW w:w="1589" w:type="dxa"/>
            <w:shd w:val="clear" w:color="auto" w:fill="A5A5A5" w:themeFill="accent3"/>
          </w:tcPr>
          <w:p w:rsidR="0082260E" w:rsidRDefault="0082260E" w:rsidP="0082260E"/>
        </w:tc>
      </w:tr>
    </w:tbl>
    <w:p w:rsidR="00C12A48" w:rsidRDefault="00904A66"/>
    <w:sectPr w:rsidR="00C12A48" w:rsidSect="00E51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7B"/>
    <w:rsid w:val="00046917"/>
    <w:rsid w:val="00054237"/>
    <w:rsid w:val="00060BAF"/>
    <w:rsid w:val="00096520"/>
    <w:rsid w:val="000F77D4"/>
    <w:rsid w:val="00104637"/>
    <w:rsid w:val="00186355"/>
    <w:rsid w:val="001F669D"/>
    <w:rsid w:val="00276D8F"/>
    <w:rsid w:val="003B77EF"/>
    <w:rsid w:val="003E29C6"/>
    <w:rsid w:val="003E66E6"/>
    <w:rsid w:val="00420169"/>
    <w:rsid w:val="00433702"/>
    <w:rsid w:val="00481A2A"/>
    <w:rsid w:val="004A21AA"/>
    <w:rsid w:val="004A54BA"/>
    <w:rsid w:val="004B68E7"/>
    <w:rsid w:val="004E1223"/>
    <w:rsid w:val="00540293"/>
    <w:rsid w:val="00555624"/>
    <w:rsid w:val="00600443"/>
    <w:rsid w:val="00672DDD"/>
    <w:rsid w:val="00703E9C"/>
    <w:rsid w:val="0082260E"/>
    <w:rsid w:val="00904A66"/>
    <w:rsid w:val="00981F59"/>
    <w:rsid w:val="009A4814"/>
    <w:rsid w:val="00A0605B"/>
    <w:rsid w:val="00A76F48"/>
    <w:rsid w:val="00A95996"/>
    <w:rsid w:val="00B17B3F"/>
    <w:rsid w:val="00B34A92"/>
    <w:rsid w:val="00B93BC2"/>
    <w:rsid w:val="00B97D7D"/>
    <w:rsid w:val="00C853FC"/>
    <w:rsid w:val="00CD7EB9"/>
    <w:rsid w:val="00CF687B"/>
    <w:rsid w:val="00D50C06"/>
    <w:rsid w:val="00E51E15"/>
    <w:rsid w:val="00E80DD9"/>
    <w:rsid w:val="00EC10E8"/>
    <w:rsid w:val="00F60138"/>
    <w:rsid w:val="00F71C43"/>
    <w:rsid w:val="00F81BE4"/>
    <w:rsid w:val="00FA5B36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2FB1-53DC-4E8F-8C98-9BF3E6C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Sam</dc:creator>
  <cp:keywords/>
  <dc:description/>
  <cp:lastModifiedBy>Isted, Anna</cp:lastModifiedBy>
  <cp:revision>2</cp:revision>
  <cp:lastPrinted>2019-10-10T12:09:00Z</cp:lastPrinted>
  <dcterms:created xsi:type="dcterms:W3CDTF">2019-12-09T12:55:00Z</dcterms:created>
  <dcterms:modified xsi:type="dcterms:W3CDTF">2019-12-09T12:55:00Z</dcterms:modified>
</cp:coreProperties>
</file>